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4A" w:rsidRPr="002D4D4A" w:rsidRDefault="002D4D4A" w:rsidP="00AC7503">
      <w:pPr>
        <w:tabs>
          <w:tab w:val="left" w:pos="850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końcowy z głosowania na projekty Budżetu Obywatelskiego</w:t>
      </w:r>
    </w:p>
    <w:p w:rsidR="002D4D4A" w:rsidRPr="002D4D4A" w:rsidRDefault="002D4D4A" w:rsidP="00342C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przeprowadzono w dniach od 1 października 202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8 października 202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godzinach od 8:00 do 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w dniach pracy Urzędu Miasta, w siedzibie Urzędu Miasta 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Brańsk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C86"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8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dniach od 1 października 202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8 października 202</w:t>
      </w:r>
      <w:r w:rsidR="00342C8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platformie Budżetu Obywatelskiego, dostępnej pod adresem: </w:t>
      </w:r>
      <w:hyperlink r:id="rId5" w:history="1">
        <w:r w:rsidR="00A308C8">
          <w:rPr>
            <w:rStyle w:val="Hipercze"/>
          </w:rPr>
          <w:t>https://bransk.um.gov.pl/budzet-obywatelski.html</w:t>
        </w:r>
      </w:hyperlink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stwierdziła, że pieczęcie na urnie pozostały nienaruszone.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91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337"/>
        <w:gridCol w:w="2338"/>
      </w:tblGrid>
      <w:tr w:rsidR="00AC7503" w:rsidRPr="002D4D4A" w:rsidTr="00264932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ujętych na listach  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46</w:t>
            </w:r>
          </w:p>
        </w:tc>
      </w:tr>
      <w:tr w:rsidR="00AC7503" w:rsidRPr="002D4D4A" w:rsidTr="00BD690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60</w:t>
            </w:r>
          </w:p>
        </w:tc>
      </w:tr>
      <w:tr w:rsidR="00AC7503" w:rsidRPr="002D4D4A" w:rsidTr="00484D98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14</w:t>
            </w:r>
          </w:p>
        </w:tc>
      </w:tr>
      <w:tr w:rsidR="00AC7503" w:rsidRPr="002D4D4A" w:rsidTr="009B2F22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głosujących, którym wydano karty do głosowania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46</w:t>
            </w:r>
          </w:p>
        </w:tc>
      </w:tr>
    </w:tbl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 pkt 2 powinna równać się sumie liczb z pkt 3 i 4. Ewentualną przyczynę różnic należy opisać w punkcie „Inne uwagi”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Po wyjęciu kart z urny Komisja ustaliła na ich podstawie następujące wyniki głosowania: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337"/>
        <w:gridCol w:w="2410"/>
      </w:tblGrid>
      <w:tr w:rsidR="00BA163B" w:rsidRPr="002D4D4A" w:rsidTr="00AC7503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3B" w:rsidRPr="002D4D4A" w:rsidRDefault="00BA163B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3B" w:rsidRPr="002D4D4A" w:rsidRDefault="00BA163B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3B" w:rsidRPr="00A85BA6" w:rsidRDefault="00BA163B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BA163B" w:rsidRPr="002D4D4A" w:rsidTr="00AC7503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3B" w:rsidRPr="002D4D4A" w:rsidRDefault="00BA163B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3B" w:rsidRPr="002D4D4A" w:rsidRDefault="00BA163B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3B" w:rsidRPr="00A85BA6" w:rsidRDefault="00BA163B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0</w:t>
            </w:r>
          </w:p>
        </w:tc>
      </w:tr>
    </w:tbl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Liczba z pkt 5 powinna równać się liczbie z pkt 4. Ewentualną przyczynę różnic należy omówić w pkt „inne uwagi”. Suma liczb z pkt 6 i 7 musi się równać liczbie z pkt 4.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2410"/>
      </w:tblGrid>
      <w:tr w:rsidR="00AC7503" w:rsidRPr="002D4D4A" w:rsidTr="00AC750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46</w:t>
            </w:r>
          </w:p>
        </w:tc>
      </w:tr>
      <w:tr w:rsidR="00AC7503" w:rsidRPr="002D4D4A" w:rsidTr="00AC750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z ważnych kart do głosowania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0</w:t>
            </w:r>
          </w:p>
        </w:tc>
      </w:tr>
      <w:tr w:rsidR="00AC7503" w:rsidRPr="002D4D4A" w:rsidTr="00AC750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z kart ważnych oddanych łącznie na wszystkie projekty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AC7503" w:rsidRPr="002D4D4A" w:rsidTr="00AC750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oddanych w formie elektronicznej za pośrednictwem platformy Budżetu Obywatelskiego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0</w:t>
            </w: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0</w:t>
            </w:r>
          </w:p>
        </w:tc>
      </w:tr>
      <w:tr w:rsidR="00AC7503" w:rsidRPr="002D4D4A" w:rsidTr="00D17DBF">
        <w:trPr>
          <w:trHeight w:val="7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503" w:rsidRPr="002D4D4A" w:rsidRDefault="00AC7503" w:rsidP="00AC7503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oddanych w formie elektronicznej za pośrednictwem platformy Budżetu Obywatelskiego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503" w:rsidRPr="00A85BA6" w:rsidRDefault="00AC7503" w:rsidP="00AC75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B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129</w:t>
            </w:r>
          </w:p>
        </w:tc>
      </w:tr>
    </w:tbl>
    <w:p w:rsidR="00CF2CFF" w:rsidRPr="00D17DBF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Uwaga! Suma liczb z pkt 8 i pkt 9 musi równać się liczbie z pkt 7</w:t>
      </w:r>
    </w:p>
    <w:p w:rsidR="002D4D4A" w:rsidRPr="002D4D4A" w:rsidRDefault="002D4D4A" w:rsidP="00BA1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Na poszczególne projekty (zadania) o charakterze majątkowym oddano następujące liczby głosów:</w:t>
      </w:r>
    </w:p>
    <w:tbl>
      <w:tblPr>
        <w:tblW w:w="97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463"/>
        <w:gridCol w:w="2289"/>
        <w:gridCol w:w="2530"/>
      </w:tblGrid>
      <w:tr w:rsidR="00D17DBF" w:rsidRPr="002D4D4A" w:rsidTr="00D17DBF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BFD" w:rsidRPr="002D4D4A" w:rsidRDefault="00F42BFD" w:rsidP="000754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42BFD" w:rsidRDefault="00F42BFD" w:rsidP="00F42B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169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BFD" w:rsidRDefault="00F42BFD" w:rsidP="00F42BFD">
            <w:pPr>
              <w:spacing w:before="120" w:after="120" w:line="240" w:lineRule="auto"/>
              <w:ind w:left="-1151" w:firstLine="11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Głosy potwierdzone</w:t>
            </w:r>
          </w:p>
        </w:tc>
        <w:tc>
          <w:tcPr>
            <w:tcW w:w="1292" w:type="pc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BFD" w:rsidRDefault="00F42BFD" w:rsidP="00D17DBF">
            <w:pPr>
              <w:spacing w:before="120" w:after="120" w:line="240" w:lineRule="auto"/>
              <w:ind w:left="-1151" w:firstLine="11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Głosy </w:t>
            </w:r>
            <w:r w:rsidR="00D1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potwierdzone</w:t>
            </w:r>
          </w:p>
        </w:tc>
      </w:tr>
      <w:tr w:rsidR="00EE130C" w:rsidRPr="002D4D4A" w:rsidTr="00D17DBF">
        <w:trPr>
          <w:tblCellSpacing w:w="0" w:type="dxa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E130C" w:rsidRPr="002D4D4A" w:rsidRDefault="00EE130C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„Bogu na chwałę, ludziom na pożytek” </w:t>
            </w:r>
          </w:p>
        </w:tc>
        <w:tc>
          <w:tcPr>
            <w:tcW w:w="11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2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E130C" w:rsidRDefault="00EE130C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EE130C" w:rsidRPr="002D4D4A" w:rsidTr="00D17DBF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E130C" w:rsidRPr="002D4D4A" w:rsidRDefault="00EE130C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Wypoczynek Estetyka Zdrowie”</w:t>
            </w:r>
          </w:p>
        </w:tc>
        <w:tc>
          <w:tcPr>
            <w:tcW w:w="11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E130C" w:rsidRDefault="00EE130C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</w:tr>
      <w:tr w:rsidR="00EE130C" w:rsidRPr="002D4D4A" w:rsidTr="00D17DBF">
        <w:trPr>
          <w:tblCellSpacing w:w="0" w:type="dxa"/>
        </w:trPr>
        <w:tc>
          <w:tcPr>
            <w:tcW w:w="26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E130C" w:rsidRPr="002D4D4A" w:rsidRDefault="00EE130C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„Utwardzenie kruszywem naturalnym łamanym 0-31 mm działki dojazdowej o nr geod.1450 do budynków wielorodzinnych oraz garaży przy ul. Armii Krajowej” </w:t>
            </w:r>
          </w:p>
        </w:tc>
        <w:tc>
          <w:tcPr>
            <w:tcW w:w="116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60DA1" w:rsidRDefault="00E60DA1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130C" w:rsidRDefault="00EE130C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EE130C" w:rsidRPr="002D4D4A" w:rsidTr="00D17DBF">
        <w:trPr>
          <w:trHeight w:val="392"/>
          <w:tblCellSpacing w:w="0" w:type="dxa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E130C" w:rsidRPr="002D4D4A" w:rsidRDefault="00EE130C" w:rsidP="002D4D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30C" w:rsidRPr="002D4D4A" w:rsidRDefault="00EE130C" w:rsidP="00EE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E130C" w:rsidRDefault="00EE130C" w:rsidP="00286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28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</w:tbl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D4A" w:rsidRPr="002D4D4A" w:rsidRDefault="002D4D4A" w:rsidP="00BA1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projekty (zadania) o charakterze społeczno-kulturalnym oddano następujące liczby głosów:</w:t>
      </w:r>
    </w:p>
    <w:tbl>
      <w:tblPr>
        <w:tblW w:w="96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441"/>
        <w:gridCol w:w="2125"/>
        <w:gridCol w:w="2569"/>
      </w:tblGrid>
      <w:tr w:rsidR="00D17DBF" w:rsidRPr="002D4D4A" w:rsidTr="00D17DBF">
        <w:trPr>
          <w:tblCellSpacing w:w="0" w:type="dxa"/>
        </w:trPr>
        <w:tc>
          <w:tcPr>
            <w:tcW w:w="275" w:type="pc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493" w:rsidRPr="002D4D4A" w:rsidRDefault="00075493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7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075493" w:rsidRPr="002D4D4A" w:rsidRDefault="00075493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1099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075493" w:rsidRDefault="00075493" w:rsidP="00EE130C">
            <w:pPr>
              <w:tabs>
                <w:tab w:val="left" w:pos="29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Głosy potwierdzone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075493" w:rsidRDefault="00075493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Głosy niepotwierdzone</w:t>
            </w:r>
          </w:p>
        </w:tc>
      </w:tr>
      <w:tr w:rsidR="00D17DBF" w:rsidRPr="002D4D4A" w:rsidTr="00D17DBF">
        <w:trPr>
          <w:tblCellSpacing w:w="0" w:type="dxa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17DBF" w:rsidRPr="002D4D4A" w:rsidRDefault="00D17DBF" w:rsidP="0007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17DBF" w:rsidRPr="002D4D4A" w:rsidRDefault="00D17DBF" w:rsidP="00EE130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Brańska Akademia Rodzica</w:t>
            </w: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099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7DBF" w:rsidRPr="002D4D4A" w:rsidRDefault="00D17DBF" w:rsidP="00D17DBF">
            <w:pPr>
              <w:tabs>
                <w:tab w:val="left" w:pos="29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2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7DBF" w:rsidRDefault="00D17DBF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</w:tr>
      <w:tr w:rsidR="00D17DBF" w:rsidRPr="002D4D4A" w:rsidTr="00D17DBF">
        <w:trPr>
          <w:tblCellSpacing w:w="0" w:type="dxa"/>
        </w:trPr>
        <w:tc>
          <w:tcPr>
            <w:tcW w:w="275" w:type="pct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DBF" w:rsidRPr="002D4D4A" w:rsidRDefault="00D17DBF" w:rsidP="002D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DBF" w:rsidRPr="002D4D4A" w:rsidRDefault="00D17DBF" w:rsidP="00EE130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D17DBF" w:rsidRDefault="00D17DBF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17DBF" w:rsidRDefault="00D17DBF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17DBF" w:rsidRPr="002D4D4A" w:rsidTr="00D17DBF">
        <w:trPr>
          <w:tblCellSpacing w:w="0" w:type="dxa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DBF" w:rsidRPr="002D4D4A" w:rsidRDefault="00D17DBF" w:rsidP="002D4D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4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17DBF" w:rsidRPr="002D4D4A" w:rsidRDefault="00D17DBF" w:rsidP="00D17DBF">
            <w:pPr>
              <w:tabs>
                <w:tab w:val="left" w:pos="29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17DBF" w:rsidRDefault="00D17DBF" w:rsidP="00D17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</w:tr>
    </w:tbl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Adnotacja o wniesieniu przez członków Komisji uwag z wymienieniem konkretnych zarzutów - brak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uwagi: brak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sporządzeniu protokołu obecni byli członkowie Komisji: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Witkowska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                                  </w:t>
      </w:r>
    </w:p>
    <w:p w:rsidR="00CF2CFF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Zawadzka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Półtorak</w:t>
      </w: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</w:p>
    <w:p w:rsidR="002D4D4A" w:rsidRP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Sopek</w:t>
      </w:r>
      <w:proofErr w:type="spellEnd"/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</w:t>
      </w:r>
    </w:p>
    <w:p w:rsidR="00CF2CFF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Marzanna </w:t>
      </w:r>
      <w:proofErr w:type="spellStart"/>
      <w:r w:rsidR="00CF2CFF">
        <w:rPr>
          <w:rFonts w:ascii="Times New Roman" w:eastAsia="Times New Roman" w:hAnsi="Times New Roman" w:cs="Times New Roman"/>
          <w:sz w:val="24"/>
          <w:szCs w:val="24"/>
          <w:lang w:eastAsia="pl-PL"/>
        </w:rPr>
        <w:t>Chwaszczewska</w:t>
      </w:r>
      <w:proofErr w:type="spellEnd"/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     </w:t>
      </w:r>
    </w:p>
    <w:p w:rsidR="002D4D4A" w:rsidRDefault="002D4D4A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</w:p>
    <w:p w:rsidR="008C5284" w:rsidRPr="002D4D4A" w:rsidRDefault="008C5284" w:rsidP="002D4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8EB" w:rsidRPr="0057068B" w:rsidRDefault="002D4D4A" w:rsidP="00570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4A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(pieczęć)</w:t>
      </w:r>
    </w:p>
    <w:sectPr w:rsidR="009508EB" w:rsidRPr="0057068B" w:rsidSect="002D4D4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A"/>
    <w:rsid w:val="00075493"/>
    <w:rsid w:val="00286415"/>
    <w:rsid w:val="002D4D4A"/>
    <w:rsid w:val="00342C86"/>
    <w:rsid w:val="0057068B"/>
    <w:rsid w:val="00780B28"/>
    <w:rsid w:val="00892BC1"/>
    <w:rsid w:val="008C5284"/>
    <w:rsid w:val="009508EB"/>
    <w:rsid w:val="00A308C8"/>
    <w:rsid w:val="00A85BA6"/>
    <w:rsid w:val="00AC7503"/>
    <w:rsid w:val="00BA163B"/>
    <w:rsid w:val="00CF2CFF"/>
    <w:rsid w:val="00D17DBF"/>
    <w:rsid w:val="00E50A46"/>
    <w:rsid w:val="00E60DA1"/>
    <w:rsid w:val="00EE130C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8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5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8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5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sk.um.gov.pl/budzet-obywatels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10</cp:revision>
  <cp:lastPrinted>2021-10-13T08:09:00Z</cp:lastPrinted>
  <dcterms:created xsi:type="dcterms:W3CDTF">2021-10-12T10:58:00Z</dcterms:created>
  <dcterms:modified xsi:type="dcterms:W3CDTF">2021-10-13T08:09:00Z</dcterms:modified>
</cp:coreProperties>
</file>